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74" w:rsidRPr="002A60FB" w:rsidRDefault="002A5174" w:rsidP="002A60FB">
      <w:pPr>
        <w:pStyle w:val="Heading2"/>
        <w:rPr>
          <w:color w:val="365F91" w:themeColor="accent1" w:themeShade="BF"/>
        </w:rPr>
      </w:pPr>
      <w:r w:rsidRPr="002A60FB">
        <w:rPr>
          <w:color w:val="365F91" w:themeColor="accent1" w:themeShade="BF"/>
        </w:rPr>
        <w:t>Go beyond liability insurance.</w:t>
      </w:r>
    </w:p>
    <w:p w:rsidR="002A5174" w:rsidRPr="002A60FB" w:rsidRDefault="002A5174">
      <w:pPr>
        <w:rPr>
          <w:rFonts w:ascii="Century" w:hAnsi="Century"/>
        </w:rPr>
      </w:pPr>
      <w:r w:rsidRPr="002A60FB">
        <w:rPr>
          <w:rFonts w:ascii="Century" w:hAnsi="Century"/>
        </w:rPr>
        <w:t>Liability insurance is insurance designed to protect gun owners.  An insurance requiremen</w:t>
      </w:r>
      <w:r w:rsidR="0010759E">
        <w:rPr>
          <w:rFonts w:ascii="Century" w:hAnsi="Century"/>
        </w:rPr>
        <w:t xml:space="preserve">t should be designed to help </w:t>
      </w:r>
      <w:r w:rsidRPr="002A60FB">
        <w:rPr>
          <w:rFonts w:ascii="Century" w:hAnsi="Century"/>
        </w:rPr>
        <w:t xml:space="preserve">victims.  It should encourage safe practices to protect potential victims from becoming actual victims; and it should compensate victims to prevent them and their families from being impoverished after a shooting.  </w:t>
      </w:r>
    </w:p>
    <w:p w:rsidR="001F73B0" w:rsidRDefault="001F73B0" w:rsidP="001F73B0">
      <w:pPr>
        <w:pStyle w:val="Heading2"/>
        <w:rPr>
          <w:color w:val="365F91" w:themeColor="accent1" w:themeShade="BF"/>
        </w:rPr>
      </w:pPr>
      <w:r w:rsidRPr="002A60FB">
        <w:rPr>
          <w:color w:val="365F91" w:themeColor="accent1" w:themeShade="BF"/>
        </w:rPr>
        <w:t>Be adopted on a federal level.</w:t>
      </w:r>
    </w:p>
    <w:p w:rsidR="001F73B0" w:rsidRPr="00940D91" w:rsidRDefault="001F73B0" w:rsidP="001F73B0">
      <w:pPr>
        <w:rPr>
          <w:rFonts w:ascii="Century" w:hAnsi="Century"/>
        </w:rPr>
      </w:pPr>
      <w:r w:rsidRPr="00940D91">
        <w:rPr>
          <w:rFonts w:ascii="Century" w:hAnsi="Century"/>
        </w:rPr>
        <w:t>Guns move around from state to state both legally and illegally.  The continuous responsibility we need requires a national solution.  Benefits are needed everywhere because deaths and injuries occur everywhere.</w:t>
      </w:r>
    </w:p>
    <w:p w:rsidR="001F73B0" w:rsidRPr="002A60FB" w:rsidRDefault="001F73B0" w:rsidP="001F73B0">
      <w:pPr>
        <w:pStyle w:val="Heading2"/>
        <w:rPr>
          <w:color w:val="365F91" w:themeColor="accent1" w:themeShade="BF"/>
        </w:rPr>
      </w:pPr>
      <w:r w:rsidRPr="002A60FB">
        <w:rPr>
          <w:color w:val="365F91" w:themeColor="accent1" w:themeShade="BF"/>
        </w:rPr>
        <w:t>Be modeled on existing insurance types.</w:t>
      </w:r>
    </w:p>
    <w:p w:rsidR="001F73B0" w:rsidRDefault="001F73B0" w:rsidP="001F73B0">
      <w:pPr>
        <w:rPr>
          <w:rFonts w:ascii="Century" w:hAnsi="Century"/>
        </w:rPr>
      </w:pPr>
      <w:r w:rsidRPr="00940D91">
        <w:rPr>
          <w:rFonts w:ascii="Century" w:hAnsi="Century"/>
        </w:rPr>
        <w:t>Guns are like cars in many ways—they have substantial dan</w:t>
      </w:r>
      <w:r>
        <w:rPr>
          <w:rFonts w:ascii="Century" w:hAnsi="Century"/>
        </w:rPr>
        <w:t>gers to the public, exist in huge numbers</w:t>
      </w:r>
      <w:r w:rsidRPr="00940D91">
        <w:rPr>
          <w:rFonts w:ascii="Century" w:hAnsi="Century"/>
        </w:rPr>
        <w:t>, have owners to buy the insurance, etc.  But</w:t>
      </w:r>
      <w:r>
        <w:rPr>
          <w:rFonts w:ascii="Century" w:hAnsi="Century"/>
        </w:rPr>
        <w:t xml:space="preserve">, </w:t>
      </w:r>
      <w:r w:rsidRPr="00940D91">
        <w:rPr>
          <w:rFonts w:ascii="Century" w:hAnsi="Century"/>
        </w:rPr>
        <w:t>differences are important as well.  The best current insurance type to</w:t>
      </w:r>
      <w:r>
        <w:rPr>
          <w:rFonts w:ascii="Century" w:hAnsi="Century"/>
        </w:rPr>
        <w:t xml:space="preserve"> use as a model</w:t>
      </w:r>
      <w:r w:rsidRPr="00940D91">
        <w:rPr>
          <w:rFonts w:ascii="Century" w:hAnsi="Century"/>
        </w:rPr>
        <w:t xml:space="preserve"> is worker’s compensation</w:t>
      </w:r>
      <w:r>
        <w:rPr>
          <w:rFonts w:ascii="Century" w:hAnsi="Century"/>
        </w:rPr>
        <w:t xml:space="preserve"> insurance</w:t>
      </w:r>
      <w:r w:rsidRPr="00940D91">
        <w:rPr>
          <w:rFonts w:ascii="Century" w:hAnsi="Century"/>
        </w:rPr>
        <w:t>.  It’s no-fault with specific benefits and</w:t>
      </w:r>
      <w:r>
        <w:rPr>
          <w:rFonts w:ascii="Century" w:hAnsi="Century"/>
        </w:rPr>
        <w:t xml:space="preserve"> is based on a particular</w:t>
      </w:r>
      <w:r w:rsidRPr="00940D91">
        <w:rPr>
          <w:rFonts w:ascii="Century" w:hAnsi="Century"/>
        </w:rPr>
        <w:t xml:space="preserve"> activity</w:t>
      </w:r>
      <w:r>
        <w:rPr>
          <w:rFonts w:ascii="Century" w:hAnsi="Century"/>
        </w:rPr>
        <w:t xml:space="preserve">.  Gun </w:t>
      </w:r>
      <w:r w:rsidRPr="00940D91">
        <w:rPr>
          <w:rFonts w:ascii="Century" w:hAnsi="Century"/>
        </w:rPr>
        <w:t xml:space="preserve">insurance should cover specific guns and pay anyone injured by them. </w:t>
      </w:r>
      <w:r>
        <w:rPr>
          <w:rFonts w:ascii="Century" w:hAnsi="Century"/>
        </w:rPr>
        <w:t>It should cover medical costs, lost wages and provide extended benefits to dependent survivors.</w:t>
      </w:r>
    </w:p>
    <w:p w:rsidR="004F40ED" w:rsidRDefault="004F40ED" w:rsidP="004F40ED">
      <w:pPr>
        <w:pStyle w:val="Heading2"/>
        <w:rPr>
          <w:color w:val="365F91" w:themeColor="accent1" w:themeShade="BF"/>
        </w:rPr>
      </w:pPr>
      <w:r w:rsidRPr="002A60FB">
        <w:rPr>
          <w:color w:val="365F91" w:themeColor="accent1" w:themeShade="BF"/>
        </w:rPr>
        <w:t>Require no-fault insurance.</w:t>
      </w:r>
    </w:p>
    <w:p w:rsidR="004F40ED" w:rsidRPr="00207388" w:rsidRDefault="004F40ED" w:rsidP="004F40ED">
      <w:pPr>
        <w:rPr>
          <w:rFonts w:ascii="Century" w:hAnsi="Century"/>
        </w:rPr>
      </w:pPr>
      <w:r w:rsidRPr="00207388">
        <w:rPr>
          <w:rFonts w:ascii="Century" w:hAnsi="Century"/>
        </w:rPr>
        <w:t xml:space="preserve">With most shootings it’s hard to establish what happened and </w:t>
      </w:r>
      <w:r>
        <w:rPr>
          <w:rFonts w:ascii="Century" w:hAnsi="Century"/>
        </w:rPr>
        <w:t xml:space="preserve">to prove fault especially when getting </w:t>
      </w:r>
      <w:r w:rsidRPr="00207388">
        <w:rPr>
          <w:rFonts w:ascii="Century" w:hAnsi="Century"/>
        </w:rPr>
        <w:t>benefits require</w:t>
      </w:r>
      <w:r>
        <w:rPr>
          <w:rFonts w:ascii="Century" w:hAnsi="Century"/>
        </w:rPr>
        <w:t>s</w:t>
      </w:r>
      <w:r w:rsidRPr="00207388">
        <w:rPr>
          <w:rFonts w:ascii="Century" w:hAnsi="Century"/>
        </w:rPr>
        <w:t xml:space="preserve"> proving fault on the part of the gun owner or proving permission was given to use the gun.  Every case would end up in extended litigation</w:t>
      </w:r>
      <w:r>
        <w:rPr>
          <w:rFonts w:ascii="Century" w:hAnsi="Century"/>
        </w:rPr>
        <w:t>;</w:t>
      </w:r>
      <w:r w:rsidRPr="00207388">
        <w:rPr>
          <w:rFonts w:ascii="Century" w:hAnsi="Century"/>
        </w:rPr>
        <w:t xml:space="preserve"> and victims who need medical care immediately would be locked out.  Fault based insurance only works for cars because most</w:t>
      </w:r>
      <w:r>
        <w:rPr>
          <w:rFonts w:ascii="Century" w:hAnsi="Century"/>
        </w:rPr>
        <w:t xml:space="preserve"> victims have their own cars</w:t>
      </w:r>
      <w:r w:rsidRPr="00207388">
        <w:rPr>
          <w:rFonts w:ascii="Century" w:hAnsi="Century"/>
        </w:rPr>
        <w:t xml:space="preserve"> and the insurance companies work things out between themselves.</w:t>
      </w:r>
    </w:p>
    <w:p w:rsidR="007709B8" w:rsidRDefault="007709B8" w:rsidP="007709B8">
      <w:pPr>
        <w:pStyle w:val="Heading2"/>
        <w:rPr>
          <w:color w:val="365F91" w:themeColor="accent1" w:themeShade="BF"/>
        </w:rPr>
      </w:pPr>
      <w:r w:rsidRPr="002A60FB">
        <w:rPr>
          <w:color w:val="365F91" w:themeColor="accent1" w:themeShade="BF"/>
        </w:rPr>
        <w:t>Require insurer responsibility to continue till another insurer takes over.</w:t>
      </w:r>
    </w:p>
    <w:p w:rsidR="007709B8" w:rsidRPr="00940D91" w:rsidRDefault="007709B8" w:rsidP="007709B8">
      <w:pPr>
        <w:rPr>
          <w:rFonts w:ascii="Century" w:hAnsi="Century"/>
        </w:rPr>
      </w:pPr>
      <w:r w:rsidRPr="00940D91">
        <w:rPr>
          <w:rFonts w:ascii="Century" w:hAnsi="Century"/>
        </w:rPr>
        <w:t>Tracking and registeri</w:t>
      </w:r>
      <w:r>
        <w:rPr>
          <w:rFonts w:ascii="Century" w:hAnsi="Century"/>
        </w:rPr>
        <w:t>ng guns is problematic, but that’s</w:t>
      </w:r>
      <w:r w:rsidRPr="00940D91">
        <w:rPr>
          <w:rFonts w:ascii="Century" w:hAnsi="Century"/>
        </w:rPr>
        <w:t xml:space="preserve"> not necessary to get insurance in place.  Guns </w:t>
      </w:r>
      <w:r>
        <w:rPr>
          <w:rFonts w:ascii="Century" w:hAnsi="Century"/>
        </w:rPr>
        <w:t>start out with manufacturers or</w:t>
      </w:r>
      <w:r w:rsidRPr="00940D91">
        <w:rPr>
          <w:rFonts w:ascii="Century" w:hAnsi="Century"/>
        </w:rPr>
        <w:t xml:space="preserve"> importers who could be required to get the insurance.  If responsibility is mandated to stay in effect until</w:t>
      </w:r>
      <w:r>
        <w:rPr>
          <w:rFonts w:ascii="Century" w:hAnsi="Century"/>
        </w:rPr>
        <w:t xml:space="preserve"> the insurance is </w:t>
      </w:r>
      <w:r w:rsidRPr="00940D91">
        <w:rPr>
          <w:rFonts w:ascii="Century" w:hAnsi="Century"/>
        </w:rPr>
        <w:t>replaced, then victims could contact the manufacturer and follow the chain of insurance responsibility to find where to make a claim.  This is how ATF tracing works now</w:t>
      </w:r>
      <w:r>
        <w:rPr>
          <w:rFonts w:ascii="Century" w:hAnsi="Century"/>
        </w:rPr>
        <w:t xml:space="preserve">, and </w:t>
      </w:r>
      <w:r w:rsidRPr="00940D91">
        <w:rPr>
          <w:rFonts w:ascii="Century" w:hAnsi="Century"/>
        </w:rPr>
        <w:t>insurers would be more cooperative than gun dealers.</w:t>
      </w:r>
    </w:p>
    <w:p w:rsidR="002A5174" w:rsidRPr="002A60FB" w:rsidRDefault="002A5174" w:rsidP="002A60FB">
      <w:pPr>
        <w:pStyle w:val="Heading2"/>
        <w:rPr>
          <w:color w:val="365F91" w:themeColor="accent1" w:themeShade="BF"/>
        </w:rPr>
      </w:pPr>
      <w:r w:rsidRPr="002A60FB">
        <w:rPr>
          <w:color w:val="365F91" w:themeColor="accent1" w:themeShade="BF"/>
        </w:rPr>
        <w:t>Pay benefits directly to victims.</w:t>
      </w:r>
    </w:p>
    <w:p w:rsidR="002A5174" w:rsidRPr="002A60FB" w:rsidRDefault="002A5174">
      <w:pPr>
        <w:rPr>
          <w:rFonts w:ascii="Century" w:hAnsi="Century"/>
        </w:rPr>
      </w:pPr>
      <w:r w:rsidRPr="002A60FB">
        <w:rPr>
          <w:rFonts w:ascii="Century" w:hAnsi="Century"/>
        </w:rPr>
        <w:t>This is the key that makes it possible for insurance to cover</w:t>
      </w:r>
      <w:r w:rsidR="0010759E">
        <w:rPr>
          <w:rFonts w:ascii="Century" w:hAnsi="Century"/>
        </w:rPr>
        <w:t xml:space="preserve"> the</w:t>
      </w:r>
      <w:r w:rsidRPr="002A60FB">
        <w:rPr>
          <w:rFonts w:ascii="Century" w:hAnsi="Century"/>
        </w:rPr>
        <w:t xml:space="preserve"> intentional shootings which make up the bulk of our gun violence problem.  Many current kinds of insurance in many fields</w:t>
      </w:r>
      <w:r w:rsidR="0010759E">
        <w:rPr>
          <w:rFonts w:ascii="Century" w:hAnsi="Century"/>
        </w:rPr>
        <w:t xml:space="preserve"> do</w:t>
      </w:r>
      <w:r w:rsidRPr="002A60FB">
        <w:rPr>
          <w:rFonts w:ascii="Century" w:hAnsi="Century"/>
        </w:rPr>
        <w:t xml:space="preserve"> cover intentional acts</w:t>
      </w:r>
      <w:r w:rsidR="004513BB">
        <w:rPr>
          <w:rFonts w:ascii="Century" w:hAnsi="Century"/>
        </w:rPr>
        <w:t>,</w:t>
      </w:r>
      <w:r w:rsidRPr="002A60FB">
        <w:rPr>
          <w:rFonts w:ascii="Century" w:hAnsi="Century"/>
        </w:rPr>
        <w:t xml:space="preserve"> </w:t>
      </w:r>
      <w:r w:rsidR="00717E23" w:rsidRPr="002A60FB">
        <w:rPr>
          <w:rFonts w:ascii="Century" w:hAnsi="Century"/>
        </w:rPr>
        <w:t>even by the person buying the insurance</w:t>
      </w:r>
      <w:r w:rsidR="004513BB">
        <w:rPr>
          <w:rFonts w:ascii="Century" w:hAnsi="Century"/>
        </w:rPr>
        <w:t>,</w:t>
      </w:r>
      <w:r w:rsidR="00717E23" w:rsidRPr="002A60FB">
        <w:rPr>
          <w:rFonts w:ascii="Century" w:hAnsi="Century"/>
        </w:rPr>
        <w:t xml:space="preserve"> </w:t>
      </w:r>
      <w:r w:rsidRPr="002A60FB">
        <w:rPr>
          <w:rFonts w:ascii="Century" w:hAnsi="Century"/>
        </w:rPr>
        <w:t xml:space="preserve">if the payments are not made to the person committing these acts.  Persons opposed to gun responsibility </w:t>
      </w:r>
      <w:r w:rsidR="0010759E">
        <w:rPr>
          <w:rFonts w:ascii="Century" w:hAnsi="Century"/>
        </w:rPr>
        <w:t xml:space="preserve">and insurance industry spokespersons </w:t>
      </w:r>
      <w:r w:rsidR="004F40ED">
        <w:rPr>
          <w:rFonts w:ascii="Century" w:hAnsi="Century"/>
        </w:rPr>
        <w:t>have been saying</w:t>
      </w:r>
      <w:r w:rsidRPr="002A60FB">
        <w:rPr>
          <w:rFonts w:ascii="Century" w:hAnsi="Century"/>
        </w:rPr>
        <w:t xml:space="preserve"> o</w:t>
      </w:r>
      <w:r w:rsidR="004513BB">
        <w:rPr>
          <w:rFonts w:ascii="Century" w:hAnsi="Century"/>
        </w:rPr>
        <w:t>ver and over that insurance can’t</w:t>
      </w:r>
      <w:r w:rsidRPr="002A60FB">
        <w:rPr>
          <w:rFonts w:ascii="Century" w:hAnsi="Century"/>
        </w:rPr>
        <w:t xml:space="preserve"> cover intentional act</w:t>
      </w:r>
      <w:r w:rsidR="004F40ED">
        <w:rPr>
          <w:rFonts w:ascii="Century" w:hAnsi="Century"/>
        </w:rPr>
        <w:t>s. This is not true</w:t>
      </w:r>
      <w:r w:rsidRPr="002A60FB">
        <w:rPr>
          <w:rFonts w:ascii="Century" w:hAnsi="Century"/>
        </w:rPr>
        <w:t>.</w:t>
      </w:r>
    </w:p>
    <w:p w:rsidR="001F73B0" w:rsidRDefault="001F73B0">
      <w:pPr>
        <w:rPr>
          <w:rFonts w:ascii="Century" w:hAnsi="Century"/>
        </w:rPr>
        <w:sectPr w:rsidR="001F73B0" w:rsidSect="00B0094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412" w:rsidRDefault="00C45412" w:rsidP="00C45412"/>
    <w:p w:rsidR="00C45412" w:rsidRPr="00934E91" w:rsidRDefault="00934E91" w:rsidP="00934E91">
      <w:pPr>
        <w:pStyle w:val="Heading2"/>
        <w:rPr>
          <w:color w:val="365F91" w:themeColor="accent1" w:themeShade="BF"/>
        </w:rPr>
      </w:pPr>
      <w:r w:rsidRPr="00934E91">
        <w:rPr>
          <w:color w:val="365F91" w:themeColor="accent1" w:themeShade="BF"/>
        </w:rPr>
        <w:t>Lack of Regulation of Firearms</w:t>
      </w:r>
    </w:p>
    <w:p w:rsidR="00C45412" w:rsidRPr="00C45412" w:rsidRDefault="00901968" w:rsidP="00C45412">
      <w:pPr>
        <w:rPr>
          <w:color w:val="000000" w:themeColor="text1"/>
        </w:rPr>
      </w:pPr>
      <w:r>
        <w:rPr>
          <w:color w:val="000000" w:themeColor="text1"/>
        </w:rPr>
        <w:t>We have three major</w:t>
      </w:r>
      <w:r w:rsidR="00C45412" w:rsidRPr="00C45412">
        <w:rPr>
          <w:color w:val="000000" w:themeColor="text1"/>
        </w:rPr>
        <w:t xml:space="preserve"> sources of deaths and injuries in the United States—</w:t>
      </w:r>
      <w:r>
        <w:rPr>
          <w:color w:val="000000" w:themeColor="text1"/>
        </w:rPr>
        <w:t>guns, car accidents, and accidents in the workplace.  The last t</w:t>
      </w:r>
      <w:r w:rsidR="00C45412" w:rsidRPr="00C45412">
        <w:rPr>
          <w:color w:val="000000" w:themeColor="text1"/>
        </w:rPr>
        <w:t>wo of these have well developed systems of regulation and insurance to help reduce the toll; but the third, guns, is allowed to go on with no real attempt to use the tools of</w:t>
      </w:r>
      <w:r w:rsidR="0010759E">
        <w:rPr>
          <w:color w:val="000000" w:themeColor="text1"/>
        </w:rPr>
        <w:t xml:space="preserve"> society for that reduction.</w:t>
      </w:r>
      <w:r w:rsidR="007709B8">
        <w:rPr>
          <w:color w:val="000000" w:themeColor="text1"/>
        </w:rPr>
        <w:t xml:space="preserve">  Just as insurance companies promote car safety to reduce losses, so they would promote gun safety.</w:t>
      </w:r>
    </w:p>
    <w:p w:rsidR="00934E91" w:rsidRPr="00934E91" w:rsidRDefault="00934E91" w:rsidP="00934E91">
      <w:pPr>
        <w:pStyle w:val="Heading2"/>
        <w:rPr>
          <w:color w:val="365F91" w:themeColor="accent1" w:themeShade="BF"/>
        </w:rPr>
      </w:pPr>
      <w:r w:rsidRPr="00934E91">
        <w:rPr>
          <w:color w:val="365F91" w:themeColor="accent1" w:themeShade="BF"/>
        </w:rPr>
        <w:t>Data on Losses, Costs and Insurance</w:t>
      </w:r>
    </w:p>
    <w:p w:rsidR="00C45412" w:rsidRPr="00F128AD" w:rsidRDefault="00C45412" w:rsidP="00C45412">
      <w:r>
        <w:t>This table is</w:t>
      </w:r>
      <w:r w:rsidRPr="00F128AD">
        <w:t xml:space="preserve"> </w:t>
      </w:r>
      <w:r w:rsidR="0010759E">
        <w:t xml:space="preserve">a </w:t>
      </w:r>
      <w:r w:rsidRPr="00F128AD">
        <w:t xml:space="preserve">comparison of these three major categories of activities with built in dangers.  </w:t>
      </w:r>
    </w:p>
    <w:tbl>
      <w:tblPr>
        <w:tblStyle w:val="TableGrid"/>
        <w:tblW w:w="0" w:type="auto"/>
        <w:tblInd w:w="108" w:type="dxa"/>
        <w:tblLook w:val="06A0"/>
      </w:tblPr>
      <w:tblGrid>
        <w:gridCol w:w="3682"/>
        <w:gridCol w:w="1448"/>
        <w:gridCol w:w="1620"/>
        <w:gridCol w:w="2477"/>
      </w:tblGrid>
      <w:tr w:rsidR="00734645" w:rsidRPr="00F128AD" w:rsidTr="00734645">
        <w:trPr>
          <w:trHeight w:val="280"/>
        </w:trPr>
        <w:tc>
          <w:tcPr>
            <w:tcW w:w="3682" w:type="dxa"/>
          </w:tcPr>
          <w:p w:rsidR="00C45412" w:rsidRPr="00F128AD" w:rsidRDefault="00C45412" w:rsidP="00402857">
            <w:pPr>
              <w:rPr>
                <w:rFonts w:ascii="Century" w:hAnsi="Century"/>
              </w:rPr>
            </w:pPr>
          </w:p>
        </w:tc>
        <w:tc>
          <w:tcPr>
            <w:tcW w:w="1448" w:type="dxa"/>
          </w:tcPr>
          <w:p w:rsidR="00734645" w:rsidRDefault="00734645" w:rsidP="00402857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</w:p>
          <w:p w:rsidR="00C45412" w:rsidRPr="00734645" w:rsidRDefault="00734645" w:rsidP="00402857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734645">
              <w:rPr>
                <w:rFonts w:ascii="Century" w:hAnsi="Century"/>
                <w:b/>
                <w:sz w:val="18"/>
                <w:szCs w:val="18"/>
              </w:rPr>
              <w:t>Guns</w:t>
            </w:r>
          </w:p>
        </w:tc>
        <w:tc>
          <w:tcPr>
            <w:tcW w:w="1620" w:type="dxa"/>
          </w:tcPr>
          <w:p w:rsidR="00734645" w:rsidRDefault="00734645" w:rsidP="00402857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</w:p>
          <w:p w:rsidR="00C45412" w:rsidRPr="00734645" w:rsidRDefault="00734645" w:rsidP="00402857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734645">
              <w:rPr>
                <w:rFonts w:ascii="Century" w:hAnsi="Century"/>
                <w:b/>
                <w:sz w:val="18"/>
                <w:szCs w:val="18"/>
              </w:rPr>
              <w:t>Cars</w:t>
            </w:r>
          </w:p>
        </w:tc>
        <w:tc>
          <w:tcPr>
            <w:tcW w:w="2477" w:type="dxa"/>
          </w:tcPr>
          <w:p w:rsidR="00734645" w:rsidRPr="00734645" w:rsidRDefault="00734645" w:rsidP="0073464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734645">
              <w:rPr>
                <w:rFonts w:ascii="Century" w:hAnsi="Century"/>
                <w:b/>
                <w:sz w:val="18"/>
                <w:szCs w:val="18"/>
              </w:rPr>
              <w:t>Jobs with Worker’s</w:t>
            </w:r>
          </w:p>
          <w:p w:rsidR="00734645" w:rsidRPr="00734645" w:rsidRDefault="00734645" w:rsidP="00734645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734645">
              <w:rPr>
                <w:rFonts w:ascii="Century" w:hAnsi="Century"/>
                <w:b/>
                <w:sz w:val="18"/>
                <w:szCs w:val="18"/>
              </w:rPr>
              <w:t>Compensation Insurance</w:t>
            </w:r>
          </w:p>
        </w:tc>
      </w:tr>
      <w:tr w:rsidR="00734645" w:rsidRPr="00F128AD" w:rsidTr="00734645">
        <w:trPr>
          <w:trHeight w:val="264"/>
        </w:trPr>
        <w:tc>
          <w:tcPr>
            <w:tcW w:w="3682" w:type="dxa"/>
          </w:tcPr>
          <w:p w:rsidR="00C45412" w:rsidRPr="00F128AD" w:rsidRDefault="00C45412" w:rsidP="00402857">
            <w:pPr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Approximate Number in US</w:t>
            </w:r>
          </w:p>
        </w:tc>
        <w:tc>
          <w:tcPr>
            <w:tcW w:w="1448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300,000,000</w:t>
            </w:r>
          </w:p>
        </w:tc>
        <w:tc>
          <w:tcPr>
            <w:tcW w:w="1620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195,000,000</w:t>
            </w:r>
          </w:p>
        </w:tc>
        <w:tc>
          <w:tcPr>
            <w:tcW w:w="2477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126,000,000</w:t>
            </w:r>
          </w:p>
        </w:tc>
      </w:tr>
      <w:tr w:rsidR="00734645" w:rsidRPr="00F128AD" w:rsidTr="00734645">
        <w:trPr>
          <w:trHeight w:val="264"/>
        </w:trPr>
        <w:tc>
          <w:tcPr>
            <w:tcW w:w="3682" w:type="dxa"/>
          </w:tcPr>
          <w:p w:rsidR="00C45412" w:rsidRPr="00F128AD" w:rsidRDefault="00C45412" w:rsidP="00402857">
            <w:pPr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Deaths</w:t>
            </w:r>
          </w:p>
        </w:tc>
        <w:tc>
          <w:tcPr>
            <w:tcW w:w="1448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33,696</w:t>
            </w:r>
          </w:p>
        </w:tc>
        <w:tc>
          <w:tcPr>
            <w:tcW w:w="1620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33,782</w:t>
            </w:r>
          </w:p>
        </w:tc>
        <w:tc>
          <w:tcPr>
            <w:tcW w:w="2477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4,679</w:t>
            </w:r>
            <w:r w:rsidR="00734645">
              <w:rPr>
                <w:rFonts w:ascii="Century" w:hAnsi="Century"/>
              </w:rPr>
              <w:t xml:space="preserve"> </w:t>
            </w:r>
          </w:p>
        </w:tc>
      </w:tr>
      <w:tr w:rsidR="00734645" w:rsidRPr="00F128AD" w:rsidTr="00734645">
        <w:trPr>
          <w:trHeight w:val="280"/>
        </w:trPr>
        <w:tc>
          <w:tcPr>
            <w:tcW w:w="3682" w:type="dxa"/>
          </w:tcPr>
          <w:p w:rsidR="00C45412" w:rsidRPr="00F128AD" w:rsidRDefault="00C45412" w:rsidP="00402857">
            <w:pPr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Injuries (Insurance Claims)</w:t>
            </w:r>
          </w:p>
        </w:tc>
        <w:tc>
          <w:tcPr>
            <w:tcW w:w="1448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84,258</w:t>
            </w:r>
          </w:p>
        </w:tc>
        <w:tc>
          <w:tcPr>
            <w:tcW w:w="1620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1,697,000</w:t>
            </w:r>
          </w:p>
        </w:tc>
        <w:tc>
          <w:tcPr>
            <w:tcW w:w="2477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3,000,000</w:t>
            </w:r>
          </w:p>
        </w:tc>
      </w:tr>
      <w:tr w:rsidR="00734645" w:rsidRPr="00F128AD" w:rsidTr="00734645">
        <w:trPr>
          <w:trHeight w:val="264"/>
        </w:trPr>
        <w:tc>
          <w:tcPr>
            <w:tcW w:w="3682" w:type="dxa"/>
          </w:tcPr>
          <w:p w:rsidR="00C45412" w:rsidRPr="00F128AD" w:rsidRDefault="00C45412" w:rsidP="00402857">
            <w:pPr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Insurance Claim Total per Year</w:t>
            </w:r>
          </w:p>
        </w:tc>
        <w:tc>
          <w:tcPr>
            <w:tcW w:w="1448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$137 Billion</w:t>
            </w:r>
          </w:p>
        </w:tc>
        <w:tc>
          <w:tcPr>
            <w:tcW w:w="2477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$60.2 Billion</w:t>
            </w:r>
          </w:p>
        </w:tc>
      </w:tr>
      <w:tr w:rsidR="00734645" w:rsidRPr="00F128AD" w:rsidTr="00734645">
        <w:trPr>
          <w:trHeight w:val="280"/>
        </w:trPr>
        <w:tc>
          <w:tcPr>
            <w:tcW w:w="3682" w:type="dxa"/>
          </w:tcPr>
          <w:p w:rsidR="00C45412" w:rsidRPr="00F128AD" w:rsidRDefault="00C45412" w:rsidP="00402857">
            <w:pPr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Insurance Cost for Each per Year</w:t>
            </w:r>
          </w:p>
        </w:tc>
        <w:tc>
          <w:tcPr>
            <w:tcW w:w="1448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$1,115</w:t>
            </w:r>
          </w:p>
        </w:tc>
        <w:tc>
          <w:tcPr>
            <w:tcW w:w="2477" w:type="dxa"/>
          </w:tcPr>
          <w:p w:rsidR="00C45412" w:rsidRPr="00F128AD" w:rsidRDefault="00C45412" w:rsidP="00402857">
            <w:pPr>
              <w:jc w:val="center"/>
              <w:rPr>
                <w:rFonts w:ascii="Century" w:hAnsi="Century"/>
              </w:rPr>
            </w:pPr>
            <w:r w:rsidRPr="00F128AD">
              <w:rPr>
                <w:rFonts w:ascii="Century" w:hAnsi="Century"/>
              </w:rPr>
              <w:t>$478</w:t>
            </w:r>
          </w:p>
        </w:tc>
      </w:tr>
    </w:tbl>
    <w:p w:rsidR="00C45412" w:rsidRDefault="00C45412" w:rsidP="00C45412">
      <w:pPr>
        <w:pStyle w:val="NoSpacing"/>
        <w:rPr>
          <w:sz w:val="18"/>
          <w:szCs w:val="18"/>
        </w:rPr>
      </w:pPr>
    </w:p>
    <w:p w:rsidR="00C45412" w:rsidRDefault="00C45412" w:rsidP="00734645">
      <w:pPr>
        <w:pStyle w:val="NoSpacing"/>
        <w:rPr>
          <w:sz w:val="18"/>
          <w:szCs w:val="18"/>
        </w:rPr>
      </w:pPr>
      <w:proofErr w:type="gramStart"/>
      <w:r w:rsidRPr="00F128AD">
        <w:rPr>
          <w:sz w:val="18"/>
          <w:szCs w:val="18"/>
        </w:rPr>
        <w:t>Figures for cars from Insurance Information Institute (III) data.</w:t>
      </w:r>
      <w:proofErr w:type="gramEnd"/>
      <w:r w:rsidRPr="00F128AD">
        <w:rPr>
          <w:sz w:val="18"/>
          <w:szCs w:val="18"/>
        </w:rPr>
        <w:t xml:space="preserve">  Figures for Jobs from III (2014) and National Academy of Social Insurance (2011</w:t>
      </w:r>
      <w:proofErr w:type="gramStart"/>
      <w:r w:rsidRPr="00F128AD">
        <w:rPr>
          <w:sz w:val="18"/>
          <w:szCs w:val="18"/>
        </w:rPr>
        <w:t>)  Only</w:t>
      </w:r>
      <w:proofErr w:type="gramEnd"/>
      <w:r w:rsidRPr="00F128AD">
        <w:rPr>
          <w:sz w:val="18"/>
          <w:szCs w:val="18"/>
        </w:rPr>
        <w:t xml:space="preserve"> jobs covered by workers compensation  are counted.  Direct payments by employers included in claims.</w:t>
      </w:r>
    </w:p>
    <w:p w:rsidR="00734645" w:rsidRDefault="00734645" w:rsidP="00734645">
      <w:pPr>
        <w:pStyle w:val="NoSpacing"/>
        <w:rPr>
          <w:sz w:val="18"/>
          <w:szCs w:val="18"/>
        </w:rPr>
      </w:pPr>
    </w:p>
    <w:p w:rsidR="00934E91" w:rsidRPr="00934E91" w:rsidRDefault="00934E91" w:rsidP="00C45412">
      <w:r w:rsidRPr="00934E91">
        <w:t>After a g</w:t>
      </w:r>
      <w:r>
        <w:t>un insurance mandate is adopted, the total amount of claims for a system that is about as generous as current worker’s compensation insurance would be approximately $6 Billion per year.  With an insurance loss ratio similar to worker’s compensation</w:t>
      </w:r>
      <w:r w:rsidR="004F40ED">
        <w:t>,</w:t>
      </w:r>
      <w:r>
        <w:t xml:space="preserve"> the premiums per gun could average a little as $30 per year.</w:t>
      </w:r>
    </w:p>
    <w:p w:rsidR="00734645" w:rsidRPr="00734645" w:rsidRDefault="00734645" w:rsidP="00734645">
      <w:pPr>
        <w:pStyle w:val="Heading2"/>
        <w:rPr>
          <w:color w:val="365F91" w:themeColor="accent1" w:themeShade="BF"/>
        </w:rPr>
      </w:pPr>
      <w:r w:rsidRPr="00734645">
        <w:rPr>
          <w:color w:val="365F91" w:themeColor="accent1" w:themeShade="BF"/>
        </w:rPr>
        <w:t>Not a Financial Burden to Gun Owners</w:t>
      </w:r>
    </w:p>
    <w:p w:rsidR="00C45412" w:rsidRPr="00F128AD" w:rsidRDefault="00934E91" w:rsidP="00C45412">
      <w:r>
        <w:t>The gun insurance cost would be small</w:t>
      </w:r>
      <w:r w:rsidR="00C45412" w:rsidRPr="00F128AD">
        <w:t xml:space="preserve"> compared to cars and jobs.  That is because the big cost to insurers is injuries (and smashed car property damage)</w:t>
      </w:r>
      <w:r w:rsidR="004F40ED">
        <w:t>;</w:t>
      </w:r>
      <w:r w:rsidR="00734645">
        <w:t xml:space="preserve"> </w:t>
      </w:r>
      <w:r w:rsidR="00901968">
        <w:t>these</w:t>
      </w:r>
      <w:r>
        <w:t xml:space="preserve"> losses are much larger than for </w:t>
      </w:r>
      <w:r w:rsidR="00901968">
        <w:t>guns</w:t>
      </w:r>
      <w:r w:rsidR="00734645">
        <w:t xml:space="preserve">.  Guns kill, create </w:t>
      </w:r>
      <w:r w:rsidR="00C45412" w:rsidRPr="00F128AD">
        <w:t>heartache and hardship for victims</w:t>
      </w:r>
      <w:r w:rsidR="00901968">
        <w:t>’</w:t>
      </w:r>
      <w:r w:rsidR="00C45412" w:rsidRPr="00F128AD">
        <w:t xml:space="preserve"> families</w:t>
      </w:r>
      <w:r w:rsidR="00734645">
        <w:t>, and large indirect societal costs</w:t>
      </w:r>
      <w:r w:rsidR="00C45412" w:rsidRPr="00F128AD">
        <w:t>, but they wouldn’</w:t>
      </w:r>
      <w:r w:rsidR="004F40ED">
        <w:t>t require</w:t>
      </w:r>
      <w:r w:rsidR="00C45412" w:rsidRPr="00F128AD">
        <w:t xml:space="preserve"> insurance</w:t>
      </w:r>
      <w:r w:rsidR="004F40ED">
        <w:t xml:space="preserve"> to be expensive</w:t>
      </w:r>
      <w:r w:rsidR="00C45412" w:rsidRPr="00F128AD">
        <w:t xml:space="preserve">.  </w:t>
      </w:r>
    </w:p>
    <w:p w:rsidR="00C45412" w:rsidRPr="00F128AD" w:rsidRDefault="00C45412" w:rsidP="00C45412">
      <w:r w:rsidRPr="00F128AD">
        <w:t xml:space="preserve">The actual premiums for gun owners would vary greatly based on the risk presented in different situations.  Responsible homeowners with only a few </w:t>
      </w:r>
      <w:r w:rsidR="004F40ED">
        <w:t xml:space="preserve">ordinary </w:t>
      </w:r>
      <w:r w:rsidRPr="00F128AD">
        <w:t>guns would probably be able to get their guns</w:t>
      </w:r>
      <w:r w:rsidR="004F40ED">
        <w:t xml:space="preserve"> covered</w:t>
      </w:r>
      <w:r w:rsidRPr="00F128AD">
        <w:t xml:space="preserve"> on their homeowners insurance at little or no extra cost.  </w:t>
      </w:r>
      <w:r w:rsidR="004F40ED">
        <w:t>G</w:t>
      </w:r>
      <w:r w:rsidRPr="00F128AD">
        <w:t xml:space="preserve">un owners </w:t>
      </w:r>
      <w:r w:rsidR="004F40ED">
        <w:t xml:space="preserve">with more dangerous weapons and bad records </w:t>
      </w:r>
      <w:r w:rsidRPr="00F128AD">
        <w:t xml:space="preserve">would </w:t>
      </w:r>
      <w:r w:rsidR="004F40ED">
        <w:t>encounter much higher premiums</w:t>
      </w:r>
      <w:r w:rsidRPr="00F128AD">
        <w:t xml:space="preserve">.  </w:t>
      </w:r>
    </w:p>
    <w:p w:rsidR="00C45412" w:rsidRDefault="00C45412" w:rsidP="00C45412">
      <w:pPr>
        <w:jc w:val="center"/>
        <w:rPr>
          <w:rFonts w:ascii="Arial Black" w:hAnsi="Arial Black"/>
        </w:rPr>
      </w:pPr>
    </w:p>
    <w:p w:rsidR="00C45412" w:rsidRPr="00F128AD" w:rsidRDefault="00C45412" w:rsidP="00C45412">
      <w:pPr>
        <w:jc w:val="center"/>
        <w:rPr>
          <w:rFonts w:ascii="Arial Black" w:hAnsi="Arial Black"/>
        </w:rPr>
      </w:pPr>
      <w:r w:rsidRPr="00F128AD">
        <w:rPr>
          <w:rFonts w:ascii="Arial Black" w:hAnsi="Arial Black"/>
        </w:rPr>
        <w:t xml:space="preserve">Gun Insurance Blog – </w:t>
      </w:r>
      <w:hyperlink r:id="rId8" w:history="1">
        <w:r w:rsidRPr="00F128AD">
          <w:rPr>
            <w:rStyle w:val="Hyperlink"/>
            <w:rFonts w:ascii="Arial Black" w:hAnsi="Arial Black"/>
          </w:rPr>
          <w:t>http://guninsuranceblog.com</w:t>
        </w:r>
      </w:hyperlink>
      <w:r w:rsidRPr="00F128AD">
        <w:rPr>
          <w:rFonts w:ascii="Arial Black" w:hAnsi="Arial Black"/>
        </w:rPr>
        <w:t xml:space="preserve"> has a detailed examination of the possibilities for mandating gun insurance.</w:t>
      </w:r>
    </w:p>
    <w:p w:rsidR="00EF3D2A" w:rsidRPr="00940D91" w:rsidRDefault="00EF3D2A">
      <w:pPr>
        <w:rPr>
          <w:rFonts w:ascii="Century" w:hAnsi="Century"/>
        </w:rPr>
      </w:pPr>
    </w:p>
    <w:sectPr w:rsidR="00EF3D2A" w:rsidRPr="00940D91" w:rsidSect="00C45412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28" w:rsidRDefault="00A14328" w:rsidP="00940D91">
      <w:pPr>
        <w:spacing w:after="0" w:line="240" w:lineRule="auto"/>
      </w:pPr>
      <w:r>
        <w:separator/>
      </w:r>
    </w:p>
  </w:endnote>
  <w:endnote w:type="continuationSeparator" w:id="0">
    <w:p w:rsidR="00A14328" w:rsidRDefault="00A14328" w:rsidP="0094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BB" w:rsidRDefault="004513BB" w:rsidP="004513BB">
    <w:pPr>
      <w:pStyle w:val="Footer"/>
      <w:jc w:val="right"/>
    </w:pPr>
    <w:r>
      <w:t>Details on: http://GunInsuranceBlog.com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12" w:rsidRPr="00C45412" w:rsidRDefault="00C45412" w:rsidP="00C45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28" w:rsidRDefault="00A14328" w:rsidP="00940D91">
      <w:pPr>
        <w:spacing w:after="0" w:line="240" w:lineRule="auto"/>
      </w:pPr>
      <w:r>
        <w:separator/>
      </w:r>
    </w:p>
  </w:footnote>
  <w:footnote w:type="continuationSeparator" w:id="0">
    <w:p w:rsidR="00A14328" w:rsidRDefault="00A14328" w:rsidP="0094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91" w:rsidRPr="002A60FB" w:rsidRDefault="00940D91" w:rsidP="00940D91">
    <w:pPr>
      <w:pStyle w:val="Heading2"/>
      <w:jc w:val="center"/>
      <w:rPr>
        <w:imprint/>
        <w:color w:val="365F91" w:themeColor="accent1" w:themeShade="BF"/>
        <w:sz w:val="32"/>
        <w:szCs w:val="32"/>
      </w:rPr>
    </w:pPr>
    <w:r w:rsidRPr="002A60FB">
      <w:rPr>
        <w:imprint/>
        <w:color w:val="365F91" w:themeColor="accent1" w:themeShade="BF"/>
        <w:sz w:val="32"/>
        <w:szCs w:val="32"/>
      </w:rPr>
      <w:t>A Gun Insurance Mandate Should:</w:t>
    </w:r>
  </w:p>
  <w:p w:rsidR="00940D91" w:rsidRDefault="00940D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91" w:rsidRDefault="00934E91" w:rsidP="00934E91">
    <w:pPr>
      <w:pStyle w:val="Heading2"/>
      <w:spacing w:before="240"/>
      <w:jc w:val="center"/>
      <w:rPr>
        <w:imprint/>
        <w:color w:val="365F91" w:themeColor="accent1" w:themeShade="BF"/>
        <w:sz w:val="32"/>
        <w:szCs w:val="32"/>
      </w:rPr>
    </w:pPr>
    <w:r w:rsidRPr="00934E91">
      <w:rPr>
        <w:imprint/>
        <w:color w:val="365F91" w:themeColor="accent1" w:themeShade="BF"/>
        <w:sz w:val="32"/>
        <w:szCs w:val="32"/>
      </w:rPr>
      <w:tab/>
      <w:t>Gun I</w:t>
    </w:r>
    <w:r>
      <w:rPr>
        <w:imprint/>
        <w:color w:val="365F91" w:themeColor="accent1" w:themeShade="BF"/>
        <w:sz w:val="32"/>
        <w:szCs w:val="32"/>
      </w:rPr>
      <w:t>nsurance is a Tool for Creating</w:t>
    </w:r>
  </w:p>
  <w:p w:rsidR="00EF3D2A" w:rsidRPr="00934E91" w:rsidRDefault="00934E91" w:rsidP="00934E91">
    <w:pPr>
      <w:pStyle w:val="Heading2"/>
      <w:spacing w:before="0"/>
      <w:jc w:val="center"/>
      <w:rPr>
        <w:imprint/>
        <w:color w:val="365F91" w:themeColor="accent1" w:themeShade="BF"/>
        <w:sz w:val="32"/>
        <w:szCs w:val="32"/>
      </w:rPr>
    </w:pPr>
    <w:r>
      <w:rPr>
        <w:imprint/>
        <w:color w:val="365F91" w:themeColor="accent1" w:themeShade="BF"/>
        <w:sz w:val="32"/>
        <w:szCs w:val="32"/>
      </w:rPr>
      <w:t xml:space="preserve">         </w:t>
    </w:r>
    <w:r w:rsidRPr="00934E91">
      <w:rPr>
        <w:imprint/>
        <w:color w:val="365F91" w:themeColor="accent1" w:themeShade="BF"/>
        <w:sz w:val="32"/>
        <w:szCs w:val="32"/>
      </w:rPr>
      <w:t xml:space="preserve">Responsibility </w:t>
    </w:r>
    <w:proofErr w:type="gramStart"/>
    <w:r w:rsidRPr="00934E91">
      <w:rPr>
        <w:imprint/>
        <w:color w:val="365F91" w:themeColor="accent1" w:themeShade="BF"/>
        <w:sz w:val="32"/>
        <w:szCs w:val="32"/>
      </w:rPr>
      <w:t>Around</w:t>
    </w:r>
    <w:proofErr w:type="gramEnd"/>
    <w:r w:rsidRPr="00934E91">
      <w:rPr>
        <w:imprint/>
        <w:color w:val="365F91" w:themeColor="accent1" w:themeShade="BF"/>
        <w:sz w:val="32"/>
        <w:szCs w:val="32"/>
      </w:rPr>
      <w:t xml:space="preserve"> Guns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5174"/>
    <w:rsid w:val="00064D66"/>
    <w:rsid w:val="0010759E"/>
    <w:rsid w:val="001F73B0"/>
    <w:rsid w:val="00207388"/>
    <w:rsid w:val="002A5174"/>
    <w:rsid w:val="002A60FB"/>
    <w:rsid w:val="003204D2"/>
    <w:rsid w:val="004513BB"/>
    <w:rsid w:val="004F40ED"/>
    <w:rsid w:val="00544BE9"/>
    <w:rsid w:val="00686FDF"/>
    <w:rsid w:val="00717E23"/>
    <w:rsid w:val="00734645"/>
    <w:rsid w:val="007709B8"/>
    <w:rsid w:val="008460C8"/>
    <w:rsid w:val="00901968"/>
    <w:rsid w:val="00934E91"/>
    <w:rsid w:val="00940D91"/>
    <w:rsid w:val="00A14328"/>
    <w:rsid w:val="00B0094C"/>
    <w:rsid w:val="00C45412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4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D91"/>
  </w:style>
  <w:style w:type="paragraph" w:styleId="Footer">
    <w:name w:val="footer"/>
    <w:basedOn w:val="Normal"/>
    <w:link w:val="FooterChar"/>
    <w:uiPriority w:val="99"/>
    <w:semiHidden/>
    <w:unhideWhenUsed/>
    <w:rsid w:val="0094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D91"/>
  </w:style>
  <w:style w:type="table" w:styleId="TableGrid">
    <w:name w:val="Table Grid"/>
    <w:basedOn w:val="TableNormal"/>
    <w:uiPriority w:val="59"/>
    <w:rsid w:val="00EF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54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4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ninsuranceblog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cp:lastPrinted>2015-10-07T02:03:00Z</cp:lastPrinted>
  <dcterms:created xsi:type="dcterms:W3CDTF">2015-10-06T13:36:00Z</dcterms:created>
  <dcterms:modified xsi:type="dcterms:W3CDTF">2015-10-07T11:29:00Z</dcterms:modified>
</cp:coreProperties>
</file>